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>
      <w:pPr>
        <w:pBdr>
          <w:top w:val="single" w:color="auto" w:sz="4" w:space="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Бурятия,улус Элэсун, ул.Ленина 68,  тел.: 8(30149) 91-1-66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"mailto:admelesun@yandex.ru" </w:instrText>
      </w:r>
      <w:r>
        <w:fldChar w:fldCharType="separate"/>
      </w:r>
      <w:r>
        <w:rPr>
          <w:rStyle w:val="14"/>
          <w:rFonts w:ascii="Times New Roman" w:hAnsi="Times New Roman" w:cs="Times New Roman"/>
          <w:lang w:val="en-US"/>
        </w:rPr>
        <w:t>admelesun</w:t>
      </w:r>
      <w:r>
        <w:rPr>
          <w:rStyle w:val="14"/>
          <w:rFonts w:ascii="Times New Roman" w:hAnsi="Times New Roman" w:cs="Times New Roman"/>
        </w:rPr>
        <w:t>@</w:t>
      </w:r>
      <w:r>
        <w:rPr>
          <w:rStyle w:val="14"/>
          <w:rFonts w:ascii="Times New Roman" w:hAnsi="Times New Roman" w:cs="Times New Roman"/>
          <w:lang w:val="en-US"/>
        </w:rPr>
        <w:t>yandex</w:t>
      </w:r>
      <w:r>
        <w:rPr>
          <w:rStyle w:val="14"/>
          <w:rFonts w:ascii="Times New Roman" w:hAnsi="Times New Roman" w:cs="Times New Roman"/>
        </w:rPr>
        <w:t>.</w:t>
      </w:r>
      <w:r>
        <w:rPr>
          <w:rStyle w:val="14"/>
          <w:rFonts w:ascii="Times New Roman" w:hAnsi="Times New Roman" w:cs="Times New Roman"/>
          <w:lang w:val="en-US"/>
        </w:rPr>
        <w:t>ru</w:t>
      </w:r>
      <w:r>
        <w:rPr>
          <w:rStyle w:val="14"/>
          <w:rFonts w:ascii="Times New Roman" w:hAnsi="Times New Roman" w:cs="Times New Roman"/>
          <w:lang w:val="en-US"/>
        </w:rPr>
        <w:fldChar w:fldCharType="end"/>
      </w:r>
    </w:p>
    <w:p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spacing w:after="0"/>
        <w:jc w:val="center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3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«29»   декабря  2023 года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 </w:t>
      </w:r>
      <w:r>
        <w:rPr>
          <w:rFonts w:ascii="Times New Roman" w:hAnsi="Times New Roman" w:cs="Times New Roman"/>
          <w:b/>
          <w:i/>
          <w:sz w:val="28"/>
          <w:szCs w:val="28"/>
        </w:rPr>
        <w:t>местно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муниципального </w:t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сельское   поселение «Элэсун» на 2024 год </w:t>
      </w: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2024 год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бюджета  на 2024 год: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объём доходов  в сумме 4710,18 тыс. рублей,  в том числе  безвозмездных поступлений в сумме 4437,08  тыс. рублей;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 объём расходов в сумме 4710,18 тыс. рублей;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дефицит (профицит) в сумме 0,0 тыс. рублей.</w:t>
      </w:r>
    </w:p>
    <w:p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  доходов местного   бюджета – органов местного самоуправления МО сельское поселение «Элэсун» и закрепляемые за ними виды доходов согласно приложению 1 к настоящему Решению;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«Элэсун» согласно приложению 2 к настоящему Решению; 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3. </w:t>
      </w:r>
      <w:r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 приложению 4 к настоящему Решению;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4. </w:t>
      </w: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5 к настоящему Решению;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5 </w:t>
      </w:r>
      <w:r>
        <w:rPr>
          <w:rFonts w:ascii="Times New Roman" w:hAnsi="Times New Roman" w:cs="Times New Roman"/>
          <w:b/>
          <w:sz w:val="24"/>
          <w:szCs w:val="24"/>
        </w:rPr>
        <w:t>Бюджетные ассигнования местного бюджета на 2024 год</w:t>
      </w:r>
    </w:p>
    <w:p>
      <w:pPr>
        <w:pStyle w:val="22"/>
        <w:spacing w:after="0" w:line="240" w:lineRule="auto"/>
        <w:ind w:left="0" w:firstLine="709"/>
        <w:jc w:val="both"/>
        <w:rPr>
          <w:b/>
        </w:rPr>
      </w:pPr>
    </w:p>
    <w:p>
      <w:pPr>
        <w:pStyle w:val="17"/>
        <w:spacing w:after="0" w:line="240" w:lineRule="auto"/>
        <w:jc w:val="both"/>
      </w:pPr>
      <w:r>
        <w:t>Утвердить:</w:t>
      </w:r>
    </w:p>
    <w:p>
      <w:pPr>
        <w:pStyle w:val="17"/>
        <w:spacing w:after="0" w:line="240" w:lineRule="auto"/>
        <w:jc w:val="both"/>
      </w:pPr>
      <w:r>
        <w:t>1) распределение бюджетных ассигнований по разделам и подразделам, классификации расходов бюджетов:  на 2024 год согласно приложению 6 к настоящему Решению;</w:t>
      </w:r>
    </w:p>
    <w:p>
      <w:pPr>
        <w:pStyle w:val="17"/>
        <w:spacing w:after="0" w:line="240" w:lineRule="auto"/>
        <w:jc w:val="both"/>
      </w:pPr>
    </w:p>
    <w:p>
      <w:pPr>
        <w:pStyle w:val="17"/>
        <w:spacing w:after="0" w:line="240" w:lineRule="auto"/>
        <w:jc w:val="both"/>
      </w:pPr>
      <w:r>
        <w:t>2) ведомственную структуру расходов местного бюджета: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7 к настоящему Решению;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>
      <w:pPr>
        <w:pStyle w:val="17"/>
        <w:spacing w:after="0" w:line="240" w:lineRule="auto"/>
        <w:jc w:val="both"/>
        <w:rPr>
          <w:b/>
          <w:bCs/>
        </w:rPr>
      </w:pPr>
      <w:r>
        <w:t xml:space="preserve">Статья 6. </w:t>
      </w:r>
      <w:r>
        <w:rPr>
          <w:b/>
          <w:bCs/>
        </w:rPr>
        <w:t>Источники финансирования дефицита местного бюджета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pStyle w:val="17"/>
        <w:spacing w:after="0" w:line="240" w:lineRule="auto"/>
        <w:jc w:val="both"/>
      </w:pPr>
      <w:r>
        <w:t>Утвердить источники финансирования дефицита местного бюджета:</w:t>
      </w:r>
    </w:p>
    <w:p>
      <w:pPr>
        <w:pStyle w:val="53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год согласно приложению 8  к настоящему Решению;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Статья 7.</w:t>
      </w:r>
      <w:r>
        <w:rPr>
          <w:rFonts w:ascii="Times New Roman" w:hAnsi="Times New Roman" w:cs="Times New Roman"/>
          <w:b/>
        </w:rPr>
        <w:t xml:space="preserve"> Муниципальный долг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Установить:</w:t>
      </w:r>
    </w:p>
    <w:p>
      <w:pPr>
        <w:pStyle w:val="53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2024 года в сумме 0,0 тыс. рублей;</w:t>
      </w:r>
    </w:p>
    <w:p>
      <w:pPr>
        <w:pStyle w:val="53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2024 года не должен превышать 0,0 тыс. рублей;</w:t>
      </w:r>
    </w:p>
    <w:p>
      <w:pPr>
        <w:pStyle w:val="53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2024 года в сумме 0,0 тыс. рублей.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Статья 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Межбюджетные трансферты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1)  Методики предоставления межбюджетных трансфертов  из бюджета сельского  поселения «Элэсун» бюджету муниципального района «Курумканский район» направляемых на финансирование расходов, связанных с передачей части полномочий, согласно приложению 9 к настоящему Решению.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Распределение иных межбюджетных трансфертов бюджету муниципального образования «Курумканский район»  из бюджета  сельского  поселения  «Элэсун» согласно приложению 10 к настоящему Решению.</w:t>
      </w: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 после официального опубликования с  01 января 2024 года. </w:t>
      </w:r>
    </w:p>
    <w:p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  поселение «Элэсун»: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Б.Б.Галсанова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7"/>
        <w:gridCol w:w="2404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«Элэсун» и закрепляемые за ними виды доходов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Администрация  сельского  поселения "Элэсун"  Курумканского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 доходы от  оказания  платных  услуг (работ) получателями средств  бюджетов сельских 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1 17 01050 10 0000 180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eastAsia="Times New Roman" w:cs="Times New Roman"/>
              </w:rPr>
              <w:t xml:space="preserve"> поселений на выравнивание бюджетной обеспеченности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Субвенции 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eastAsia="Times New Roman" w:cs="Times New Roman"/>
              </w:rPr>
              <w:t xml:space="preserve">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 межбюджетные  трансферты,  передаваемые  бюджетам сельских  поселений из бюджетов муниципальных районов на  осуществление  части  полномочий по решению  вопросов местного  значения в соответствии с  заключенными  соглашениями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2 02 90054 10 0000 150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992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7"/>
        <w:gridCol w:w="2546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23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Единый сельскохозяйственный налог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>
            <w:pPr>
              <w:tabs>
                <w:tab w:val="left" w:pos="1526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7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779"/>
        <w:gridCol w:w="2471"/>
        <w:gridCol w:w="135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7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Администрация МО сельского  поселения "Элэсун"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 остатков  средств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 остатков  средств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13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39"/>
        <w:gridCol w:w="169"/>
        <w:gridCol w:w="3260"/>
        <w:gridCol w:w="2383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Налоговые и неналоговые доходы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32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сельских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195,0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2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80"/>
        <w:gridCol w:w="141"/>
        <w:gridCol w:w="2977"/>
        <w:gridCol w:w="2410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Объем безвозмездных поступлений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4437,08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4437,08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2 02 30000 00 0000 150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2 02 40000 00 0000 150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660,3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660,3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2 02 90000 00 0000 150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3535,6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2 02 90054 10 0000 150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3535,6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1419" w:type="dxa"/>
        <w:tblInd w:w="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203"/>
        <w:gridCol w:w="886"/>
        <w:gridCol w:w="2552"/>
        <w:gridCol w:w="247"/>
        <w:gridCol w:w="142"/>
        <w:gridCol w:w="1508"/>
        <w:gridCol w:w="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6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3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5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2655,748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1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772,607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6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1310,981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562,160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8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239,1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239,1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655,3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361,032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361,032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gridAfter w:val="1"/>
          <w:wAfter w:w="105" w:type="dxa"/>
          <w:trHeight w:val="285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799,0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9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216,9</w:t>
            </w:r>
          </w:p>
        </w:tc>
        <w:tc>
          <w:tcPr>
            <w:tcW w:w="1508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0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9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405,9</w:t>
            </w: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gridAfter w:val="1"/>
          <w:wAfter w:w="105" w:type="dxa"/>
          <w:trHeight w:val="72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4710,18</w:t>
            </w:r>
          </w:p>
        </w:tc>
        <w:tc>
          <w:tcPr>
            <w:tcW w:w="15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3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trHeight w:val="509" w:hRule="atLeast"/>
        </w:trPr>
        <w:tc>
          <w:tcPr>
            <w:tcW w:w="103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7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Администрация сельского  поселения "Элэсун"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2655,748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772,607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593,4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179,207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348,1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348,1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323,0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323,0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962,881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962,881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621,145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187,586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562,16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562,16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350,0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112,16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239,1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166,892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655,3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655,39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645,3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361,032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100,272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255,76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799,0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667,008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99,608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9,0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4710,18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231" w:type="dxa"/>
        <w:tblInd w:w="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23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4710,18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tbl>
      <w:tblPr>
        <w:tblStyle w:val="12"/>
        <w:tblW w:w="10065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</w:tbl>
    <w:p>
      <w:pPr>
        <w:spacing w:after="0"/>
        <w:rPr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Методики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межбюджетных трансфертов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из бюджета поселения бюджету муниципального района,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направляемых на финансирование расходов,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связанных с передачей части полномочий 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органов местного самоуправления поселения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органам местного самоуправления муниципального района</w:t>
      </w:r>
    </w:p>
    <w:p>
      <w:pPr>
        <w:rPr>
          <w:rFonts w:ascii="Times New Roman" w:hAnsi="Times New Roman" w:cs="Times New Roman"/>
        </w:rPr>
      </w:pP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, где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 / ∑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общий объем расходов на содержание централизованной бухгалтерии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на содержание централизованной бухгалтерии для осуществления переданных полномочий поселений по исполнению бюджетов поселений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 + М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поселений, утвержденный в бюджете муниципального района на текущий финансовый год и приведенный к условиям очередного финансового года,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bscript"/>
        </w:rPr>
        <w:t>цб</w:t>
      </w:r>
      <w:r>
        <w:rPr>
          <w:rFonts w:ascii="Times New Roman" w:hAnsi="Times New Roman" w:cs="Times New Roman"/>
        </w:rPr>
        <w:t xml:space="preserve">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текущий финансовый год.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*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, где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/ ∑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– 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утвержденный в бюджете муниципального района на текущий финансовый год и приведенный к условиям очередного финансового года, тыс. рублей;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утвержденный в бюджете муниципального района на текущий финансовый год и приведенный к условиям очередного финансового года, рассчитывается по формуле: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= 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+ М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, где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– фонд оплаты труда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текущий финансовый год, приведенный к условиям очередного финансового года,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vertAlign w:val="subscript"/>
        </w:rPr>
        <w:t>крк</w:t>
      </w:r>
      <w:r>
        <w:rPr>
          <w:rFonts w:ascii="Times New Roman" w:hAnsi="Times New Roman" w:cs="Times New Roman"/>
        </w:rPr>
        <w:t xml:space="preserve"> 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в соответствии с решением районного Совета депутатов о бюджете муниципального образования «Курумканский район» на текущий финансовый год..</w:t>
      </w:r>
    </w:p>
    <w:p>
      <w:pPr>
        <w:ind w:firstLine="709"/>
        <w:jc w:val="both"/>
        <w:rPr>
          <w:rFonts w:ascii="Times New Roman" w:hAnsi="Times New Roman" w:cs="Times New Roman"/>
        </w:rPr>
      </w:pP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4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в части оплаты труда и страховых взносов на выплаты по оплате труда рассчитывается по следующей формуле: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</w: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ок</w:t>
      </w:r>
      <w:r>
        <w:rPr>
          <w:rFonts w:ascii="Times New Roman" w:hAnsi="Times New Roman" w:cs="Times New Roman"/>
        </w:rPr>
        <w:t>, где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к</w:t>
      </w:r>
      <w:r>
        <w:rPr>
          <w:rFonts w:ascii="Times New Roman" w:hAnsi="Times New Roman" w:cs="Times New Roman"/>
        </w:rPr>
        <w:t xml:space="preserve"> – расходы на заработную плату работников культуры (специалистов)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  <w:vertAlign w:val="subscript"/>
        </w:rPr>
        <w:t>ок</w:t>
      </w:r>
      <w:r>
        <w:rPr>
          <w:rFonts w:ascii="Times New Roman" w:hAnsi="Times New Roman" w:cs="Times New Roman"/>
        </w:rPr>
        <w:t xml:space="preserve"> - расходы на заработную плату работников обслуживающего персонала дома культуры в соответствии с утвержденным штатным расписанием на очередной финансовый год, включая начисления на фонд оплаты труда.</w:t>
      </w:r>
    </w:p>
    <w:p>
      <w:pPr>
        <w:ind w:firstLine="709"/>
        <w:rPr>
          <w:rFonts w:ascii="Times New Roman" w:hAnsi="Times New Roman" w:cs="Times New Roman"/>
          <w:sz w:val="20"/>
          <w:szCs w:val="20"/>
        </w:rPr>
      </w:pP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>
      <w:pPr>
        <w:numPr>
          <w:ilvl w:val="1"/>
          <w:numId w:val="5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>
      <w:pPr>
        <w:ind w:left="420"/>
        <w:jc w:val="both"/>
        <w:rPr>
          <w:rFonts w:ascii="Times New Roman" w:hAnsi="Times New Roman" w:cs="Times New Roman"/>
        </w:rPr>
      </w:pP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Средства предоставляемых иных межбюджетных трансфертов имеют строго целевой характер.</w:t>
      </w:r>
    </w:p>
    <w:p>
      <w:pPr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>
      <w:pPr>
        <w:ind w:left="42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>
      <w:pPr>
        <w:jc w:val="right"/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right" w:tblpY="193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местном бюджете</w:t>
            </w: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муниципального образования</w:t>
            </w:r>
          </w:p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сельское поселение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«Элэсун»  на 2024 год 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3" w:hRule="atLeast"/>
        </w:trPr>
        <w:tc>
          <w:tcPr>
            <w:tcW w:w="9356" w:type="dxa"/>
            <w:shd w:val="clear" w:color="auto" w:fill="auto"/>
          </w:tcPr>
          <w:p>
            <w:pPr>
              <w:autoSpaceDE w:val="0"/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 «29»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декабря  2023 года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V-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pStyle w:val="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межбюджетных трансфертов бюджету муниципального образования «Курумканский район» из бюджета сельского поселения «Элэсун» по осуществлению части полномочий по решению вопросов местного значения в соответствии с заключенными соглашениями на 2024, 2025, 2026гг</w:t>
      </w:r>
    </w:p>
    <w:p>
      <w:pPr>
        <w:pStyle w:val="3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2"/>
        <w:tblW w:w="10217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91"/>
        <w:gridCol w:w="1276"/>
        <w:gridCol w:w="1417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 год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2025 год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2026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осуществление части полномочий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хозяйственно-транспортному  обслуживанию в области  культуры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622,8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970,9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896,1</w:t>
            </w:r>
          </w:p>
        </w:tc>
      </w:tr>
    </w:tbl>
    <w:p/>
    <w:sectPr>
      <w:pgSz w:w="11906" w:h="16838"/>
      <w:pgMar w:top="568" w:right="850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B3F3D"/>
    <w:multiLevelType w:val="multilevel"/>
    <w:tmpl w:val="0A7B3F3D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CD90749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DA568F0"/>
    <w:multiLevelType w:val="multilevel"/>
    <w:tmpl w:val="1DA568F0"/>
    <w:lvl w:ilvl="0" w:tentative="0">
      <w:start w:val="8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502" w:hanging="360"/>
      </w:pPr>
    </w:lvl>
    <w:lvl w:ilvl="2" w:tentative="0">
      <w:start w:val="1"/>
      <w:numFmt w:val="decimal"/>
      <w:lvlText w:val="%1.%2.%3."/>
      <w:lvlJc w:val="left"/>
      <w:pPr>
        <w:ind w:left="1004" w:hanging="720"/>
      </w:pPr>
    </w:lvl>
    <w:lvl w:ilvl="3" w:tentative="0">
      <w:start w:val="1"/>
      <w:numFmt w:val="decimal"/>
      <w:lvlText w:val="%1.%2.%3.%4."/>
      <w:lvlJc w:val="left"/>
      <w:pPr>
        <w:ind w:left="1146" w:hanging="720"/>
      </w:pPr>
    </w:lvl>
    <w:lvl w:ilvl="4" w:tentative="0">
      <w:start w:val="1"/>
      <w:numFmt w:val="decimal"/>
      <w:lvlText w:val="%1.%2.%3.%4.%5."/>
      <w:lvlJc w:val="left"/>
      <w:pPr>
        <w:ind w:left="1648" w:hanging="1080"/>
      </w:pPr>
    </w:lvl>
    <w:lvl w:ilvl="5" w:tentative="0">
      <w:start w:val="1"/>
      <w:numFmt w:val="decimal"/>
      <w:lvlText w:val="%1.%2.%3.%4.%5.%6."/>
      <w:lvlJc w:val="left"/>
      <w:pPr>
        <w:ind w:left="1790" w:hanging="1080"/>
      </w:pPr>
    </w:lvl>
    <w:lvl w:ilvl="6" w:tentative="0">
      <w:start w:val="1"/>
      <w:numFmt w:val="decimal"/>
      <w:lvlText w:val="%1.%2.%3.%4.%5.%6.%7."/>
      <w:lvlJc w:val="left"/>
      <w:pPr>
        <w:ind w:left="2292" w:hanging="1440"/>
      </w:pPr>
    </w:lvl>
    <w:lvl w:ilvl="7" w:tentative="0">
      <w:start w:val="1"/>
      <w:numFmt w:val="decimal"/>
      <w:lvlText w:val="%1.%2.%3.%4.%5.%6.%7.%8."/>
      <w:lvlJc w:val="left"/>
      <w:pPr>
        <w:ind w:left="2434" w:hanging="1440"/>
      </w:pPr>
    </w:lvl>
    <w:lvl w:ilvl="8" w:tentative="0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35D44BAC"/>
    <w:multiLevelType w:val="multilevel"/>
    <w:tmpl w:val="35D44BAC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6E113F64"/>
    <w:multiLevelType w:val="multilevel"/>
    <w:tmpl w:val="6E113F64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7B716A8F"/>
    <w:multiLevelType w:val="multilevel"/>
    <w:tmpl w:val="7B716A8F"/>
    <w:lvl w:ilvl="0" w:tentative="0">
      <w:start w:val="1"/>
      <w:numFmt w:val="decimal"/>
      <w:lvlText w:val="%1)"/>
      <w:lvlJc w:val="left"/>
      <w:pPr>
        <w:tabs>
          <w:tab w:val="left" w:pos="510"/>
        </w:tabs>
        <w:ind w:left="510" w:hanging="45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1"/>
    <w:rsid w:val="000F0A74"/>
    <w:rsid w:val="001C6BD9"/>
    <w:rsid w:val="002804D3"/>
    <w:rsid w:val="002B5C4D"/>
    <w:rsid w:val="0032412C"/>
    <w:rsid w:val="00372640"/>
    <w:rsid w:val="004A49DF"/>
    <w:rsid w:val="004C0119"/>
    <w:rsid w:val="0051092B"/>
    <w:rsid w:val="005505B2"/>
    <w:rsid w:val="005A7331"/>
    <w:rsid w:val="005D6514"/>
    <w:rsid w:val="00685C0F"/>
    <w:rsid w:val="007A0F42"/>
    <w:rsid w:val="0093764B"/>
    <w:rsid w:val="00A24B8A"/>
    <w:rsid w:val="00A310AC"/>
    <w:rsid w:val="00A4081B"/>
    <w:rsid w:val="00C21941"/>
    <w:rsid w:val="00C51593"/>
    <w:rsid w:val="00CF273C"/>
    <w:rsid w:val="00E150C6"/>
    <w:rsid w:val="00E4360A"/>
    <w:rsid w:val="00F9058B"/>
    <w:rsid w:val="00FA2828"/>
    <w:rsid w:val="2B22796C"/>
    <w:rsid w:val="4C8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80"/>
      <w:u w:val="single"/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5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50"/>
    <w:unhideWhenUsed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endnote text"/>
    <w:basedOn w:val="1"/>
    <w:link w:val="56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48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21">
    <w:name w:val="Title"/>
    <w:basedOn w:val="1"/>
    <w:next w:val="1"/>
    <w:link w:val="33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2">
    <w:name w:val="Body Text Indent 2"/>
    <w:basedOn w:val="1"/>
    <w:link w:val="51"/>
    <w:semiHidden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23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  <w:lang w:eastAsia="ru-RU"/>
    </w:rPr>
  </w:style>
  <w:style w:type="character" w:customStyle="1" w:styleId="25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26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7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8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lang w:eastAsia="ru-RU"/>
    </w:rPr>
  </w:style>
  <w:style w:type="character" w:customStyle="1" w:styleId="29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lang w:eastAsia="ru-RU"/>
    </w:rPr>
  </w:style>
  <w:style w:type="character" w:customStyle="1" w:styleId="30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Название Знак"/>
    <w:basedOn w:val="11"/>
    <w:link w:val="21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  <w:lang w:eastAsia="ru-RU"/>
    </w:rPr>
  </w:style>
  <w:style w:type="character" w:customStyle="1" w:styleId="34">
    <w:name w:val="Подзаголовок Знак"/>
    <w:basedOn w:val="11"/>
    <w:link w:val="23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paragraph" w:styleId="35">
    <w:name w:val="No Spacing"/>
    <w:basedOn w:val="1"/>
    <w:link w:val="36"/>
    <w:qFormat/>
    <w:uiPriority w:val="0"/>
    <w:pPr>
      <w:spacing w:after="0" w:line="240" w:lineRule="auto"/>
    </w:pPr>
  </w:style>
  <w:style w:type="character" w:customStyle="1" w:styleId="36">
    <w:name w:val="Без интервала Знак"/>
    <w:basedOn w:val="11"/>
    <w:link w:val="35"/>
    <w:qFormat/>
    <w:uiPriority w:val="0"/>
    <w:rPr>
      <w:rFonts w:eastAsiaTheme="minorEastAsia"/>
      <w:lang w:eastAsia="ru-RU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Цитата 2 Знак"/>
    <w:basedOn w:val="11"/>
    <w:link w:val="38"/>
    <w:uiPriority w:val="29"/>
    <w:rPr>
      <w:rFonts w:eastAsiaTheme="minorEastAsia"/>
      <w:i/>
      <w:iCs/>
      <w:color w:val="000000" w:themeColor="text1"/>
      <w:lang w:eastAsia="ru-RU"/>
      <w14:textFill>
        <w14:solidFill>
          <w14:schemeClr w14:val="tx1"/>
        </w14:solidFill>
      </w14:textFill>
    </w:rPr>
  </w:style>
  <w:style w:type="paragraph" w:styleId="40">
    <w:name w:val="Intense Quote"/>
    <w:basedOn w:val="1"/>
    <w:next w:val="1"/>
    <w:link w:val="41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Выделенная цитата Знак"/>
    <w:basedOn w:val="11"/>
    <w:link w:val="40"/>
    <w:uiPriority w:val="30"/>
    <w:rPr>
      <w:rFonts w:eastAsiaTheme="minorEastAsia"/>
      <w:b/>
      <w:bCs/>
      <w:i/>
      <w:iCs/>
      <w:color w:val="4472C4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42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Intense Emphasis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4">
    <w:name w:val="Subtle Reference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Intense Reference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Book Title"/>
    <w:qFormat/>
    <w:uiPriority w:val="33"/>
    <w:rPr>
      <w:b/>
      <w:bCs/>
      <w:smallCaps/>
      <w:spacing w:val="5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Текст сноски Знак"/>
    <w:basedOn w:val="11"/>
    <w:link w:val="20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9">
    <w:name w:val="Текст сноски Знак1"/>
    <w:basedOn w:val="11"/>
    <w:semiHidden/>
    <w:uiPriority w:val="99"/>
    <w:rPr>
      <w:rFonts w:eastAsiaTheme="minorEastAsia"/>
      <w:sz w:val="20"/>
      <w:szCs w:val="20"/>
      <w:lang w:eastAsia="ru-RU"/>
    </w:rPr>
  </w:style>
  <w:style w:type="character" w:customStyle="1" w:styleId="50">
    <w:name w:val="Основной текст 2 Знак"/>
    <w:basedOn w:val="11"/>
    <w:link w:val="1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Основной текст с отступом 2 Знак"/>
    <w:basedOn w:val="11"/>
    <w:link w:val="22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ConsPlusNormal Знак"/>
    <w:basedOn w:val="11"/>
    <w:link w:val="53"/>
    <w:locked/>
    <w:uiPriority w:val="0"/>
    <w:rPr>
      <w:rFonts w:ascii="Arial" w:hAnsi="Arial" w:cs="Arial"/>
    </w:rPr>
  </w:style>
  <w:style w:type="paragraph" w:customStyle="1" w:styleId="53">
    <w:name w:val="ConsPlusNormal"/>
    <w:link w:val="52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 w:eastAsiaTheme="minorHAnsi"/>
      <w:sz w:val="22"/>
      <w:szCs w:val="22"/>
      <w:lang w:val="ru-RU" w:eastAsia="en-US" w:bidi="ar-SA"/>
    </w:rPr>
  </w:style>
  <w:style w:type="character" w:customStyle="1" w:styleId="54">
    <w:name w:val="Текст выноски Знак"/>
    <w:basedOn w:val="11"/>
    <w:link w:val="16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55">
    <w:name w:val="Текст выноски Знак1"/>
    <w:basedOn w:val="11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56">
    <w:name w:val="Текст концевой сноски Знак"/>
    <w:basedOn w:val="11"/>
    <w:link w:val="18"/>
    <w:semiHidden/>
    <w:uiPriority w:val="99"/>
    <w:rPr>
      <w:rFonts w:eastAsiaTheme="minorEastAsia"/>
      <w:sz w:val="20"/>
      <w:szCs w:val="20"/>
      <w:lang w:eastAsia="ru-RU"/>
    </w:rPr>
  </w:style>
  <w:style w:type="character" w:customStyle="1" w:styleId="57">
    <w:name w:val="Текст концевой сноски Знак1"/>
    <w:basedOn w:val="11"/>
    <w:semiHidden/>
    <w:uiPriority w:val="99"/>
    <w:rPr>
      <w:rFonts w:eastAsiaTheme="minorEastAsia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4757</Words>
  <Characters>27119</Characters>
  <Lines>225</Lines>
  <Paragraphs>63</Paragraphs>
  <TotalTime>160</TotalTime>
  <ScaleCrop>false</ScaleCrop>
  <LinksUpToDate>false</LinksUpToDate>
  <CharactersWithSpaces>31813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2023-01-09T15:57:00Z</dcterms:created>
  <dc:creator>Елена Бадмаева</dc:creator>
  <cp:lastModifiedBy>Лиза Ламуева</cp:lastModifiedBy>
  <dcterms:modified xsi:type="dcterms:W3CDTF">2024-01-30T02:54:53Z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D791019CD51646CF81B8EB7AE9F30D3D_12</vt:lpwstr>
  </property>
</Properties>
</file>