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8A7BCE" w:rsidRDefault="008A7BCE" w:rsidP="008A7BCE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F01905">
        <w:rPr>
          <w:rFonts w:ascii="Times New Roman" w:hAnsi="Times New Roman" w:cs="Times New Roman"/>
          <w:b/>
          <w:sz w:val="26"/>
          <w:szCs w:val="26"/>
        </w:rPr>
        <w:t>Россияне начали чаще устанавливать границы своих земельных участков</w:t>
      </w:r>
    </w:p>
    <w:bookmarkEnd w:id="0"/>
    <w:p w:rsidR="008A7BCE" w:rsidRPr="00F01905" w:rsidRDefault="008A7BCE" w:rsidP="008A7B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 всей Российской Федерации</w:t>
      </w:r>
      <w:r w:rsidRPr="00F01905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б</w:t>
      </w:r>
      <w:r w:rsidRPr="00F01905">
        <w:rPr>
          <w:rFonts w:ascii="Times New Roman" w:hAnsi="Times New Roman" w:cs="Times New Roman"/>
          <w:i/>
          <w:sz w:val="26"/>
          <w:szCs w:val="26"/>
        </w:rPr>
        <w:t xml:space="preserve">олее чем на 300 тыс. выросло число земельных участков с установленными границами в </w:t>
      </w:r>
      <w:r w:rsidRPr="00F01905">
        <w:rPr>
          <w:rFonts w:ascii="Times New Roman" w:hAnsi="Times New Roman" w:cs="Times New Roman"/>
          <w:i/>
          <w:sz w:val="26"/>
          <w:szCs w:val="26"/>
          <w:lang w:val="en-US"/>
        </w:rPr>
        <w:t>I</w:t>
      </w:r>
      <w:r w:rsidRPr="00F01905">
        <w:rPr>
          <w:rFonts w:ascii="Times New Roman" w:hAnsi="Times New Roman" w:cs="Times New Roman"/>
          <w:i/>
          <w:sz w:val="26"/>
          <w:szCs w:val="26"/>
        </w:rPr>
        <w:t xml:space="preserve"> квартале 2019 года </w:t>
      </w:r>
    </w:p>
    <w:p w:rsidR="008A7BCE" w:rsidRPr="00F01905" w:rsidRDefault="008A7BCE" w:rsidP="008A7BC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Согласно сведениям ФГБУ «Федеральная Кадастровая Палата </w:t>
      </w:r>
      <w:proofErr w:type="spellStart"/>
      <w:r>
        <w:rPr>
          <w:b/>
          <w:color w:val="000000"/>
          <w:sz w:val="26"/>
          <w:szCs w:val="26"/>
        </w:rPr>
        <w:t>Росреестра</w:t>
      </w:r>
      <w:proofErr w:type="spellEnd"/>
      <w:r>
        <w:rPr>
          <w:b/>
          <w:color w:val="000000"/>
          <w:sz w:val="26"/>
          <w:szCs w:val="26"/>
        </w:rPr>
        <w:t>», п</w:t>
      </w:r>
      <w:r w:rsidRPr="00F01905">
        <w:rPr>
          <w:b/>
          <w:color w:val="000000"/>
          <w:sz w:val="26"/>
          <w:szCs w:val="26"/>
        </w:rPr>
        <w:t>о итогам первого квартала 2019 года в Едином государственном реестре недвижимости</w:t>
      </w:r>
      <w:r>
        <w:rPr>
          <w:b/>
          <w:color w:val="000000"/>
          <w:sz w:val="26"/>
          <w:szCs w:val="26"/>
        </w:rPr>
        <w:t xml:space="preserve"> (ЕГРН)</w:t>
      </w:r>
      <w:r w:rsidRPr="00F01905">
        <w:rPr>
          <w:b/>
          <w:color w:val="000000"/>
          <w:sz w:val="26"/>
          <w:szCs w:val="26"/>
        </w:rPr>
        <w:t xml:space="preserve"> содержатся сведения о более чем 60 млн</w:t>
      </w:r>
      <w:r>
        <w:rPr>
          <w:b/>
          <w:color w:val="000000"/>
          <w:sz w:val="26"/>
          <w:szCs w:val="26"/>
        </w:rPr>
        <w:t>.</w:t>
      </w:r>
      <w:r w:rsidRPr="00F01905">
        <w:rPr>
          <w:b/>
          <w:color w:val="000000"/>
          <w:sz w:val="26"/>
          <w:szCs w:val="26"/>
        </w:rPr>
        <w:t xml:space="preserve"> земельных участков. Из них более половины (33,6 млн</w:t>
      </w:r>
      <w:r>
        <w:rPr>
          <w:b/>
          <w:color w:val="000000"/>
          <w:sz w:val="26"/>
          <w:szCs w:val="26"/>
        </w:rPr>
        <w:t>.</w:t>
      </w:r>
      <w:r w:rsidRPr="00F01905">
        <w:rPr>
          <w:b/>
          <w:color w:val="000000"/>
          <w:sz w:val="26"/>
          <w:szCs w:val="26"/>
        </w:rPr>
        <w:t xml:space="preserve"> или 56%) – участки с установленными границами. Прирост внесенных в ЕГРН сведений о земельных участках с установленными границами за первый квартал составил 0,9 % –</w:t>
      </w:r>
      <w:r>
        <w:rPr>
          <w:b/>
          <w:color w:val="000000"/>
          <w:sz w:val="26"/>
          <w:szCs w:val="26"/>
        </w:rPr>
        <w:t xml:space="preserve"> </w:t>
      </w:r>
      <w:r w:rsidRPr="00F01905">
        <w:rPr>
          <w:b/>
          <w:color w:val="000000"/>
          <w:sz w:val="26"/>
          <w:szCs w:val="26"/>
        </w:rPr>
        <w:t xml:space="preserve">301,7 тыс. </w:t>
      </w:r>
      <w:r>
        <w:rPr>
          <w:b/>
          <w:color w:val="000000"/>
          <w:sz w:val="26"/>
          <w:szCs w:val="26"/>
        </w:rPr>
        <w:t>Федеральные российские э</w:t>
      </w:r>
      <w:r w:rsidRPr="00F01905">
        <w:rPr>
          <w:b/>
          <w:color w:val="000000"/>
          <w:sz w:val="26"/>
          <w:szCs w:val="26"/>
        </w:rPr>
        <w:t>ксперты отмечают</w:t>
      </w:r>
      <w:r>
        <w:rPr>
          <w:b/>
          <w:color w:val="000000"/>
          <w:sz w:val="26"/>
          <w:szCs w:val="26"/>
        </w:rPr>
        <w:t>, что</w:t>
      </w:r>
      <w:r w:rsidRPr="00F01905">
        <w:rPr>
          <w:b/>
          <w:color w:val="000000"/>
          <w:sz w:val="26"/>
          <w:szCs w:val="26"/>
        </w:rPr>
        <w:t xml:space="preserve"> россияне стали внимательнее относиться к защите своих земель и чаще определять границы участков. </w:t>
      </w: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отметила </w:t>
      </w:r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Марина Семенова, замглавы Федеральной кадастровой палаты </w:t>
      </w:r>
      <w:proofErr w:type="spellStart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Росреестра</w:t>
      </w:r>
      <w:proofErr w:type="spellEnd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начала 2019 года наблюдается повышение спроса на проведение кадастровых работ в связи с установлением границ земельных участков. «</w:t>
      </w:r>
      <w:r w:rsidRPr="00F01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Физические лица действительно стали чаще проводить работу по установлению границ своих земельных участков, хотя действующее законодательство не предусматривает обязательного межевания земель. В то же время, установление границ участков помогает собственнику избежать разногласий с соседями и способствует повышению прозрачности сделок с недвижимостью. Возможно, повышение правовой грамотности и желание ликвидировать последующие риски стало одним из факторов повышения спроса на установление четких границ объектов</w:t>
      </w: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- сказала </w:t>
      </w:r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Марина Семенова.</w:t>
      </w: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Наибольший прирост участков с установленными границами отмечен в Астраханской области – 12,6%, Республике Саха (Якутия) – 6,9%, Республике Крым – 6,4%, Республике Тыве – 5,8%, Республике Коми – 5,1% и городе Севастополе – 3,1%.</w:t>
      </w: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Наибольшей доли земельных участков, которые имеют координатное описание границ в ЕГРН, достигли в городах федерального значения Санкт-Петербурге и Севастополе, республиках Башкортостане, Калининградской и Мурманской областях, Еврейской автономной области и Ямало-Ненецком автономном округе. </w:t>
      </w:r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число регионов с наименьшей долей земельных участков с установленными границами в ЕГРН по состоянию на 1 апреля 2019 года вошли Камчатский край (35%), Ульяновская область (34,0%), Костромская область (31%), Кировская область (26%), Магаданская область (23%).</w:t>
      </w: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7BCE" w:rsidRPr="00F01905" w:rsidRDefault="008A7BCE" w:rsidP="008A7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27B21B2" wp14:editId="78C88BE4">
            <wp:extent cx="5940425" cy="2193925"/>
            <wp:effectExtent l="0" t="0" r="317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F01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Работа по закреплению границ в реестре недвижимости способствует эффективному управлению земельными ресурсами, повышает прозрачность взаимоотношений местных администраций, хозяйствующих субъектов и граждан</w:t>
      </w: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- отмечает </w:t>
      </w:r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замглавы Федеральной Кадастровой палаты </w:t>
      </w:r>
      <w:proofErr w:type="spellStart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Росреестра</w:t>
      </w:r>
      <w:proofErr w:type="spellEnd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Марина </w:t>
      </w:r>
      <w:proofErr w:type="spellStart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Семёнова</w:t>
      </w:r>
      <w:proofErr w:type="spellEnd"/>
      <w:r w:rsidRPr="00F01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1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Кроме того, внесение в ЕГРН сведений о границах защищает права собственников, сводит к минимуму число земельных споров и позволяет правильно начислять налог на имущество». </w:t>
      </w:r>
    </w:p>
    <w:p w:rsidR="008A7BCE" w:rsidRPr="00F01905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определения местоположения границ земельного участка правообладателю необходимо обратиться к кадастровому инженеру, который подготовит межевой план. Для осуществления государственного кадастрового учета в связи с уточнением описания местоположения границ земельного участка необходимо представить в </w:t>
      </w:r>
      <w:proofErr w:type="spellStart"/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</w:t>
      </w:r>
      <w:proofErr w:type="spellEnd"/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соответствующее заявление и межевой план. Внесение в ЕГРН сведений о границах объекта недвижимости производится на безвозмездной основе.</w:t>
      </w:r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Действенным механизмом уточнения границ земельных участков являются комплексные кадастровые работы, которые охватывают территории целых кадастровых кварталов. Заказчиками таких работ выступают органы государственной власти регионов и местного самоуправления. Работы охватывают территории целых кадастровых кварталов, включающих в себя дачные и садовые товарищества, личные подсобные и фермерские хозяйства.</w:t>
      </w:r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отметить, что в Республике Бурятия, как и во всех регионах России, Д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внедрению целевой модели «Постановка на кадастровый учет земельных участков и объектов недвижимого имущества»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 показател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«д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количества земельных участков, учтенных в ЕГРН, с границами, установленными в соответствии с требованиями законодательства РФ, в общем количестве земельных участков, учтенных в ЕГРН,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proofErr w:type="gramEnd"/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состоянию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1 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2019г.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значени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данного 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составляет 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58,55%.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Однако, по плану целево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значени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данного показателя к концу текущего года 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достигнуть уровня</w:t>
      </w:r>
      <w:r w:rsidRPr="00A71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A7BCE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Отметим, что за счёт средств федерального бюджета и бюджета муниципальных образований Бурятии запланировано проведение комплексных кадастровых работ.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предоставления субсидий из республиканского бюджета муниципальным образованиям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 и перечни кадастровых кварталов, в границах которых предполагается проведение комплексных кадастровых работ на территории Республики Бурятии в 2019-2020 годах, утверждены Постановлением Правительства Бурятии от 22 февраля 2019 года. </w:t>
      </w:r>
      <w:proofErr w:type="gramEnd"/>
    </w:p>
    <w:p w:rsidR="00AA119C" w:rsidRPr="0032409D" w:rsidRDefault="008A7BCE" w:rsidP="008A7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Проводимая работа должна повысить не только количество земельных участков с установленными границами в ЕГРН, но и повысить эффективность процедур предоставления земельных участков, находящихся в государственной и муниципальной собственности и постановки объектов недвижимости на государственный кадастровый учёт. В целом, данная работа послужит обеспечением устойчивости социально-экономического развития, как республики, так и всей страны. К тому же, это решение социальных, экономических, экологических проблем, повышение качества жизни, улучшение инвестиционного климата и содействие региональному развитию. </w:t>
      </w:r>
    </w:p>
    <w:p w:rsidR="00AA119C" w:rsidRPr="0032409D" w:rsidRDefault="00AA119C" w:rsidP="00AA119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AA119C" w:rsidRPr="0032409D" w:rsidRDefault="00AA119C" w:rsidP="00AA119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93" w:rsidRDefault="003D2F93" w:rsidP="000F6087">
      <w:pPr>
        <w:spacing w:after="0" w:line="240" w:lineRule="auto"/>
      </w:pPr>
      <w:r>
        <w:separator/>
      </w:r>
    </w:p>
  </w:endnote>
  <w:endnote w:type="continuationSeparator" w:id="0">
    <w:p w:rsidR="003D2F93" w:rsidRDefault="003D2F93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93" w:rsidRDefault="003D2F93" w:rsidP="000F6087">
      <w:pPr>
        <w:spacing w:after="0" w:line="240" w:lineRule="auto"/>
      </w:pPr>
      <w:r>
        <w:separator/>
      </w:r>
    </w:p>
  </w:footnote>
  <w:footnote w:type="continuationSeparator" w:id="0">
    <w:p w:rsidR="003D2F93" w:rsidRDefault="003D2F93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303BBB"/>
    <w:rsid w:val="0032409D"/>
    <w:rsid w:val="003272CE"/>
    <w:rsid w:val="00370B45"/>
    <w:rsid w:val="003A7DF9"/>
    <w:rsid w:val="003B2121"/>
    <w:rsid w:val="003B747F"/>
    <w:rsid w:val="003D136A"/>
    <w:rsid w:val="003D2F93"/>
    <w:rsid w:val="003E4301"/>
    <w:rsid w:val="00455C72"/>
    <w:rsid w:val="00470A3B"/>
    <w:rsid w:val="004743C8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02179"/>
    <w:rsid w:val="00763E36"/>
    <w:rsid w:val="00771B18"/>
    <w:rsid w:val="007E6141"/>
    <w:rsid w:val="00820593"/>
    <w:rsid w:val="008235BD"/>
    <w:rsid w:val="008474C6"/>
    <w:rsid w:val="008A7BCE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41F1B"/>
    <w:rsid w:val="00A80CAE"/>
    <w:rsid w:val="00AA119C"/>
    <w:rsid w:val="00AB4864"/>
    <w:rsid w:val="00B07423"/>
    <w:rsid w:val="00B60DAA"/>
    <w:rsid w:val="00BA1506"/>
    <w:rsid w:val="00C26383"/>
    <w:rsid w:val="00C40F40"/>
    <w:rsid w:val="00C85841"/>
    <w:rsid w:val="00C91839"/>
    <w:rsid w:val="00D147C8"/>
    <w:rsid w:val="00D512D7"/>
    <w:rsid w:val="00D5500D"/>
    <w:rsid w:val="00D755EE"/>
    <w:rsid w:val="00D85E64"/>
    <w:rsid w:val="00E02751"/>
    <w:rsid w:val="00E47FDD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85000"/>
                    <a:lumOff val="15000"/>
                  </a:schemeClr>
                </a:solidFill>
                <a:latin typeface="Segoe UI" panose="020B0502040204020203" pitchFamily="34" charset="0"/>
                <a:ea typeface="+mn-ea"/>
                <a:cs typeface="+mn-cs"/>
              </a:defRPr>
            </a:pPr>
            <a:r>
              <a:rPr lang="ru-RU" sz="900" b="1" baseline="0">
                <a:solidFill>
                  <a:schemeClr val="tx1">
                    <a:lumMod val="85000"/>
                    <a:lumOff val="15000"/>
                  </a:schemeClr>
                </a:solidFill>
                <a:effectLst/>
                <a:latin typeface="Segoe UI" panose="020B0502040204020203" pitchFamily="34" charset="0"/>
              </a:rPr>
              <a:t>Регионы с наибольшей долей границ земельных участков в ЕГРН на 01.04.2019 </a:t>
            </a:r>
          </a:p>
        </c:rich>
      </c:tx>
      <c:layout>
        <c:manualLayout>
          <c:xMode val="edge"/>
          <c:yMode val="edge"/>
          <c:x val="0.17301073594784608"/>
          <c:y val="5.018250055191698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4703442592931699"/>
          <c:y val="0.13186427417726629"/>
          <c:w val="0.58955706982432132"/>
          <c:h val="0.84460074454705392"/>
        </c:manualLayout>
      </c:layout>
      <c:barChart>
        <c:barDir val="bar"/>
        <c:grouping val="percentStack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numFmt formatCode="0%" sourceLinked="0"/>
            <c:spPr>
              <a:solidFill>
                <a:srgbClr val="99FFCC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Лист2!$B$74:$B$80</c:f>
              <c:strCache>
                <c:ptCount val="7"/>
                <c:pt idx="0">
                  <c:v>Еврейская АО</c:v>
                </c:pt>
                <c:pt idx="1">
                  <c:v>Мурманская область</c:v>
                </c:pt>
                <c:pt idx="2">
                  <c:v>Санкт-Петербург</c:v>
                </c:pt>
                <c:pt idx="3">
                  <c:v>Республика Башкортостан</c:v>
                </c:pt>
                <c:pt idx="4">
                  <c:v>Ямало-Ненецкий АО</c:v>
                </c:pt>
                <c:pt idx="5">
                  <c:v>Севастополь</c:v>
                </c:pt>
                <c:pt idx="6">
                  <c:v>Калининградская область</c:v>
                </c:pt>
              </c:strCache>
            </c:strRef>
          </c:cat>
          <c:val>
            <c:numRef>
              <c:f>Лист2!$C$74:$C$80</c:f>
              <c:numCache>
                <c:formatCode>0%</c:formatCode>
                <c:ptCount val="7"/>
                <c:pt idx="0">
                  <c:v>0.98</c:v>
                </c:pt>
                <c:pt idx="1">
                  <c:v>0.94</c:v>
                </c:pt>
                <c:pt idx="2">
                  <c:v>0.91</c:v>
                </c:pt>
                <c:pt idx="3">
                  <c:v>0.9</c:v>
                </c:pt>
                <c:pt idx="4">
                  <c:v>0.89</c:v>
                </c:pt>
                <c:pt idx="5">
                  <c:v>0.84</c:v>
                </c:pt>
                <c:pt idx="6">
                  <c:v>0.75</c:v>
                </c:pt>
              </c:numCache>
            </c:numRef>
          </c:val>
        </c:ser>
        <c:ser>
          <c:idx val="1"/>
          <c:order val="1"/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Лист2!$B$74:$B$80</c:f>
              <c:strCache>
                <c:ptCount val="7"/>
                <c:pt idx="0">
                  <c:v>Еврейская АО</c:v>
                </c:pt>
                <c:pt idx="1">
                  <c:v>Мурманская область</c:v>
                </c:pt>
                <c:pt idx="2">
                  <c:v>Санкт-Петербург</c:v>
                </c:pt>
                <c:pt idx="3">
                  <c:v>Республика Башкортостан</c:v>
                </c:pt>
                <c:pt idx="4">
                  <c:v>Ямало-Ненецкий АО</c:v>
                </c:pt>
                <c:pt idx="5">
                  <c:v>Севастополь</c:v>
                </c:pt>
                <c:pt idx="6">
                  <c:v>Калининградская область</c:v>
                </c:pt>
              </c:strCache>
            </c:strRef>
          </c:cat>
          <c:val>
            <c:numRef>
              <c:f>Лист2!$D$74:$D$80</c:f>
              <c:numCache>
                <c:formatCode>0%</c:formatCode>
                <c:ptCount val="7"/>
                <c:pt idx="0">
                  <c:v>2.0000000000000018E-2</c:v>
                </c:pt>
                <c:pt idx="1">
                  <c:v>6.0000000000000053E-2</c:v>
                </c:pt>
                <c:pt idx="2">
                  <c:v>8.9999999999999969E-2</c:v>
                </c:pt>
                <c:pt idx="3">
                  <c:v>9.9999999999999978E-2</c:v>
                </c:pt>
                <c:pt idx="4">
                  <c:v>0.10999999999999999</c:v>
                </c:pt>
                <c:pt idx="5">
                  <c:v>0.16000000000000003</c:v>
                </c:pt>
                <c:pt idx="6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76731520"/>
        <c:axId val="76733056"/>
      </c:barChart>
      <c:catAx>
        <c:axId val="767315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spcBef>
                <a:spcPts val="600"/>
              </a:spcBef>
              <a:spcAft>
                <a:spcPts val="600"/>
              </a:spcAft>
              <a:defRPr/>
            </a:pPr>
            <a:endParaRPr lang="ru-RU"/>
          </a:p>
        </c:txPr>
        <c:crossAx val="76733056"/>
        <c:crosses val="autoZero"/>
        <c:auto val="1"/>
        <c:lblAlgn val="ctr"/>
        <c:lblOffset val="100"/>
        <c:noMultiLvlLbl val="0"/>
      </c:catAx>
      <c:valAx>
        <c:axId val="76733056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673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600"/>
        </a:spcBef>
        <a:spcAft>
          <a:spcPts val="600"/>
        </a:spcAft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2019-05-29T08:26:00Z</dcterms:created>
  <dcterms:modified xsi:type="dcterms:W3CDTF">2019-05-29T08:26:00Z</dcterms:modified>
</cp:coreProperties>
</file>